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ZF 2005 47 vom 21. November 2005</w:t>
      </w:r>
    </w:p>
    <w:p>
      <w:r>
        <w:t>GR Gerichte, 2005-11-21, DE</w:t>
      </w:r>
    </w:p>
    <w:p>
      <w:r>
        <w:rPr>
          <w:b/>
        </w:rPr>
        <w:t xml:space="preserve">Quelle: </w:t>
      </w:r>
      <w:r>
        <w:t>https://mcp.opencaselaw.ch/entscheid/gr_gerichte_ZF 2005 47</w:t>
      </w:r>
    </w:p>
    <w:p>
      <w:r>
        <w:t>FR: GR_GERICHTE ZF 2005 47 du 21 novembre 2005</w:t>
      </w:r>
    </w:p>
    <w:p>
      <w:r>
        <w:t>IT: GR_GERICHTE ZF 2005 47 del 21 novembre 2005</w:t>
      </w:r>
    </w:p>
    <w:p>
      <w:pPr>
        <w:pStyle w:val="Heading2"/>
      </w:pPr>
      <w:r>
        <w:t>Regeste</w:t>
      </w:r>
    </w:p>
    <w:p>
      <w:r>
        <w:t>Festlegung des Kinderunterhalts | ZGB Kindesrecht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Abweisung der Klage.</w:t>
      </w:r>
    </w:p>
    <w:p>
      <w:r>
        <w:rPr>
          <w:b/>
        </w:rPr>
        <w:t>E. 3</w:t>
      </w:r>
    </w:p>
    <w:p>
      <w:r>
        <w:t>B.V. wird verpflichtet, K.V. ausseramtlich mit Fr. 3'618.05 (inkl. Spesen und Mwst) zu entschädigen.</w:t>
      </w:r>
    </w:p>
    <w:p>
      <w:r>
        <w:rPr>
          <w:b/>
        </w:rPr>
        <w:t>E. 4</w:t>
      </w:r>
    </w:p>
    <w:p>
      <w:r>
        <w:t>(Rechtsmittelbelehrung)</w:t>
      </w:r>
    </w:p>
    <w:p>
      <w:r>
        <w:rPr>
          <w:b/>
        </w:rPr>
        <w:t>E. 5</w:t>
      </w:r>
    </w:p>
    <w:p>
      <w:r>
        <w:t>Mit Urteil vom 30. Juni 2005, mitgeteilt am 25. Juli 2005, entschied das Be- zirksgericht Prättigau/Davos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